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34F8" w14:textId="308BD314" w:rsidR="004357AA" w:rsidRDefault="00BD1AC5" w:rsidP="00BC33FC">
      <w:pPr>
        <w:pStyle w:val="Title"/>
      </w:pPr>
      <w:r>
        <w:rPr>
          <w:rFonts w:eastAsia="Times New Roman"/>
        </w:rPr>
        <w:t>NUTEX HEALTH</w:t>
      </w:r>
      <w:r w:rsidR="00685E2E">
        <w:rPr>
          <w:rFonts w:eastAsia="Times New Roman"/>
        </w:rPr>
        <w:t>, INC.</w:t>
      </w:r>
    </w:p>
    <w:p w14:paraId="0CE80A06" w14:textId="473C0AFC" w:rsidR="00BC33FC" w:rsidRDefault="00685E2E" w:rsidP="00BC33FC">
      <w:pPr>
        <w:pStyle w:val="Title"/>
      </w:pPr>
      <w:r w:rsidRPr="00BF319C">
        <w:rPr>
          <w:rFonts w:eastAsia="Times New Roman" w:cs="Times New Roman"/>
          <w:szCs w:val="24"/>
        </w:rPr>
        <w:t>CHARTER OF THE NOMINATING COMMITTEE</w:t>
      </w:r>
    </w:p>
    <w:p w14:paraId="3CD540AD" w14:textId="77777777" w:rsidR="00BC33FC" w:rsidRPr="004357AA" w:rsidRDefault="00685E2E" w:rsidP="00BC33FC">
      <w:pPr>
        <w:pStyle w:val="LTitle"/>
        <w:rPr>
          <w:rFonts w:ascii="Times New Roman Bold" w:hAnsi="Times New Roman Bold"/>
          <w:smallCaps w:val="0"/>
        </w:rPr>
      </w:pPr>
      <w:r w:rsidRPr="004357AA">
        <w:rPr>
          <w:rFonts w:ascii="Times New Roman Bold" w:hAnsi="Times New Roman Bold"/>
          <w:smallCaps w:val="0"/>
        </w:rPr>
        <w:t>Purpose and Policy</w:t>
      </w:r>
    </w:p>
    <w:p w14:paraId="5C1F0509" w14:textId="262B46B6" w:rsidR="00BC33FC" w:rsidRPr="004357AA" w:rsidRDefault="00685E2E" w:rsidP="004357AA">
      <w:pPr>
        <w:pStyle w:val="BodyTextFirstIndent"/>
        <w:ind w:firstLine="720"/>
      </w:pPr>
      <w:r w:rsidRPr="004357AA">
        <w:t>The purpose of the Nominating Committee (the “</w:t>
      </w:r>
      <w:r w:rsidRPr="004357AA">
        <w:rPr>
          <w:rFonts w:eastAsia="Times New Roman" w:cs="Times New Roman"/>
        </w:rPr>
        <w:t>Committee</w:t>
      </w:r>
      <w:r w:rsidRPr="004357AA">
        <w:t>”) of the Board of Directors (the “</w:t>
      </w:r>
      <w:r w:rsidRPr="004357AA">
        <w:rPr>
          <w:rFonts w:eastAsia="Times New Roman" w:cs="Times New Roman"/>
        </w:rPr>
        <w:t>Board</w:t>
      </w:r>
      <w:r w:rsidRPr="004357AA">
        <w:t xml:space="preserve">”) of </w:t>
      </w:r>
      <w:proofErr w:type="spellStart"/>
      <w:r w:rsidR="00BD1AC5">
        <w:t>Nutex</w:t>
      </w:r>
      <w:proofErr w:type="spellEnd"/>
      <w:r w:rsidR="00BD1AC5">
        <w:t xml:space="preserve"> Health</w:t>
      </w:r>
      <w:r w:rsidR="00FA6A9C">
        <w:t>, Inc.</w:t>
      </w:r>
      <w:r w:rsidRPr="004357AA">
        <w:t xml:space="preserve"> (the “</w:t>
      </w:r>
      <w:r w:rsidRPr="004357AA">
        <w:rPr>
          <w:rFonts w:eastAsia="Times New Roman" w:cs="Times New Roman"/>
        </w:rPr>
        <w:t>Company</w:t>
      </w:r>
      <w:r w:rsidRPr="004357AA">
        <w:t xml:space="preserve">”) is to (i) oversee all </w:t>
      </w:r>
      <w:r w:rsidRPr="004357AA">
        <w:t>aspects of the Company’s corporate governance functions on behalf of the Board; (ii) make recommendations to the Board regarding corporate governance issues; (iii) identify, review and evaluate candidates to serve as directors of the Company consistent wit</w:t>
      </w:r>
      <w:r w:rsidRPr="004357AA">
        <w:t>h criteria approved by the Board and review and evaluate incumbent directors; (iv) serve as a focal point for communication between such candidates, non-committee directors and the Company’s management; (v) select or recommend to the Board for selection ca</w:t>
      </w:r>
      <w:r w:rsidRPr="004357AA">
        <w:t>ndidates to the Board to serve as nominees for director for the annual meeting of stockholders; and (vi) make other recommendations to the Board regarding affairs relating to the directors of the Com</w:t>
      </w:r>
      <w:r w:rsidR="004357AA">
        <w:t>pany.</w:t>
      </w:r>
    </w:p>
    <w:p w14:paraId="2D112275" w14:textId="63E4C562" w:rsidR="00BC33FC" w:rsidRDefault="00685E2E" w:rsidP="004357AA">
      <w:pPr>
        <w:pStyle w:val="BodyTextFirstIndent"/>
        <w:ind w:firstLine="720"/>
      </w:pPr>
      <w:r>
        <w:t>The policy of the Committee, in discharging these o</w:t>
      </w:r>
      <w:r>
        <w:t>bligations, shall be to promote best corporate governance practices, ensure the Board is comprised of only highly qualified directors, and foster an open avenue of communication between the Committee and manag</w:t>
      </w:r>
      <w:r w:rsidR="004357AA">
        <w:t>ement of the Company.</w:t>
      </w:r>
    </w:p>
    <w:p w14:paraId="0563A378" w14:textId="77777777" w:rsidR="00BC33FC" w:rsidRPr="004357AA" w:rsidRDefault="00685E2E" w:rsidP="004357AA">
      <w:pPr>
        <w:pStyle w:val="LTitle"/>
        <w:rPr>
          <w:rFonts w:ascii="Times New Roman Bold" w:hAnsi="Times New Roman Bold"/>
          <w:smallCaps w:val="0"/>
        </w:rPr>
      </w:pPr>
      <w:r w:rsidRPr="004357AA">
        <w:rPr>
          <w:rFonts w:ascii="Times New Roman Bold" w:hAnsi="Times New Roman Bold"/>
          <w:smallCaps w:val="0"/>
        </w:rPr>
        <w:t>Composition</w:t>
      </w:r>
    </w:p>
    <w:p w14:paraId="5A82F893" w14:textId="11CEC87D" w:rsidR="00BC33FC" w:rsidRPr="004357AA" w:rsidRDefault="00685E2E" w:rsidP="004357AA">
      <w:pPr>
        <w:pStyle w:val="BodyTextFirstIndent"/>
        <w:ind w:firstLine="720"/>
      </w:pPr>
      <w:r>
        <w:t>The Committee</w:t>
      </w:r>
      <w:r>
        <w:t xml:space="preserve"> shall consist of at least two members of the Board</w:t>
      </w:r>
      <w:r w:rsidR="002F0B67">
        <w:t xml:space="preserve">.  </w:t>
      </w:r>
      <w:r>
        <w:t xml:space="preserve">No Committee member shall be an employee of the Company and each member shall be an independent director as determined by the Board, in accordance with the applicable independence requirements of The </w:t>
      </w:r>
      <w:r w:rsidRPr="004357AA">
        <w:t>Na</w:t>
      </w:r>
      <w:r w:rsidRPr="004357AA">
        <w:t>sdaq Stock Market (“</w:t>
      </w:r>
      <w:r w:rsidRPr="004357AA">
        <w:rPr>
          <w:rFonts w:eastAsia="Times New Roman" w:cs="Times New Roman"/>
        </w:rPr>
        <w:t>Nasdaq</w:t>
      </w:r>
      <w:r w:rsidRPr="004357AA">
        <w:t>”), when and as required by Nasdaq</w:t>
      </w:r>
      <w:r w:rsidR="002F0B67" w:rsidRPr="004357AA">
        <w:t xml:space="preserve">.  </w:t>
      </w:r>
      <w:r w:rsidRPr="004357AA">
        <w:t>The members of the Committee shall be appointed by and serve at the discretion of the Board</w:t>
      </w:r>
      <w:r w:rsidR="00BF319C" w:rsidRPr="004357AA">
        <w:t xml:space="preserve">.  </w:t>
      </w:r>
      <w:r w:rsidRPr="004357AA">
        <w:t>Vacancies occurring on the Committee shall be filled by the Board</w:t>
      </w:r>
      <w:r w:rsidR="002F0B67" w:rsidRPr="004357AA">
        <w:t xml:space="preserve">.  </w:t>
      </w:r>
      <w:r w:rsidRPr="004357AA">
        <w:t>The Committee’s chairperson sha</w:t>
      </w:r>
      <w:r w:rsidRPr="004357AA">
        <w:t>ll be designated by the Board or, if it does not do so, the Committee members shall elect a chairperson by vote of a majority of the full Committee</w:t>
      </w:r>
      <w:r w:rsidR="00BF319C" w:rsidRPr="004357AA">
        <w:t xml:space="preserve">.  </w:t>
      </w:r>
      <w:r w:rsidRPr="004357AA">
        <w:t>The Chair (or in his or her absence, a member designated by the Chair) shall preside at</w:t>
      </w:r>
      <w:r w:rsidR="004357AA">
        <w:t xml:space="preserve"> all meetings of the Committee.</w:t>
      </w:r>
    </w:p>
    <w:p w14:paraId="6D871244" w14:textId="77777777" w:rsidR="0026444F" w:rsidRPr="004357AA" w:rsidRDefault="00685E2E" w:rsidP="004357AA">
      <w:pPr>
        <w:pStyle w:val="LTitle"/>
        <w:keepNext/>
        <w:rPr>
          <w:rFonts w:ascii="Times New Roman Bold" w:hAnsi="Times New Roman Bold"/>
          <w:smallCaps w:val="0"/>
        </w:rPr>
      </w:pPr>
      <w:r w:rsidRPr="004357AA">
        <w:rPr>
          <w:rFonts w:ascii="Times New Roman Bold" w:hAnsi="Times New Roman Bold"/>
          <w:smallCaps w:val="0"/>
        </w:rPr>
        <w:t xml:space="preserve">Meetings </w:t>
      </w:r>
      <w:r w:rsidR="000D48C8" w:rsidRPr="004357AA">
        <w:rPr>
          <w:rFonts w:ascii="Times New Roman Bold" w:hAnsi="Times New Roman Bold"/>
          <w:smallCaps w:val="0"/>
        </w:rPr>
        <w:t>and</w:t>
      </w:r>
      <w:r w:rsidRPr="004357AA">
        <w:rPr>
          <w:rFonts w:ascii="Times New Roman Bold" w:hAnsi="Times New Roman Bold"/>
          <w:smallCaps w:val="0"/>
        </w:rPr>
        <w:t xml:space="preserve"> Minutes</w:t>
      </w:r>
    </w:p>
    <w:p w14:paraId="71D4A5FF" w14:textId="247ECE2D" w:rsidR="00BC33FC" w:rsidRDefault="00685E2E" w:rsidP="004357AA">
      <w:pPr>
        <w:pStyle w:val="BodyTextFirstIndent"/>
        <w:ind w:firstLine="720"/>
      </w:pPr>
      <w:r>
        <w:t>The Committee shall hold such regular or special meetings as its members deem necessary or appropriate</w:t>
      </w:r>
      <w:r w:rsidR="002F0B67">
        <w:t>.</w:t>
      </w:r>
      <w:r w:rsidR="002F0B67">
        <w:rPr>
          <w:rFonts w:ascii="Calibri" w:eastAsia="Calibri" w:hAnsi="Calibri" w:cs="Calibri"/>
          <w:sz w:val="22"/>
        </w:rPr>
        <w:t xml:space="preserve">  </w:t>
      </w:r>
      <w:r>
        <w:t>The presence in person or by telephone/virtual conference of a majority of the Committee’s members shall constitute a</w:t>
      </w:r>
      <w:r>
        <w:t xml:space="preserve"> quorum for any meeting of the Committee</w:t>
      </w:r>
      <w:r w:rsidR="00BF319C">
        <w:t xml:space="preserve">.  </w:t>
      </w:r>
      <w:r>
        <w:t>All actions of the Committee will require (i) the vote of a majority of the members present at a meeting of the Committee at which a quorum is present or (ii) unanimous written consent of the members of the Commit</w:t>
      </w:r>
      <w:r>
        <w:t>tee then serving</w:t>
      </w:r>
      <w:r w:rsidR="002F0B67">
        <w:t xml:space="preserve">.  </w:t>
      </w:r>
      <w:r>
        <w:t>Minutes of each meeting will be kept and all such minutes and actions by unanimous written consent will be distributed to each member of the Committee, members of the Board who are not members of the Committee and the Secretary of the Co</w:t>
      </w:r>
      <w:r>
        <w:t>mpany.  The Chair of the Committee will report to the Board from time to time or when</w:t>
      </w:r>
      <w:r w:rsidR="004357AA">
        <w:t>ever so requested by the Board.</w:t>
      </w:r>
    </w:p>
    <w:p w14:paraId="05F12C0A" w14:textId="77777777" w:rsidR="00AA3DFD" w:rsidRPr="004357AA" w:rsidRDefault="00685E2E" w:rsidP="004357AA">
      <w:pPr>
        <w:pStyle w:val="LTitle"/>
        <w:keepNext/>
        <w:rPr>
          <w:rFonts w:ascii="Times New Roman Bold" w:hAnsi="Times New Roman Bold"/>
          <w:smallCaps w:val="0"/>
        </w:rPr>
      </w:pPr>
      <w:r w:rsidRPr="004357AA">
        <w:rPr>
          <w:rFonts w:ascii="Times New Roman Bold" w:hAnsi="Times New Roman Bold"/>
          <w:smallCaps w:val="0"/>
        </w:rPr>
        <w:lastRenderedPageBreak/>
        <w:t>Authority</w:t>
      </w:r>
    </w:p>
    <w:p w14:paraId="10332D9D" w14:textId="55118F9F" w:rsidR="00BC33FC" w:rsidRDefault="00685E2E" w:rsidP="004357AA">
      <w:pPr>
        <w:pStyle w:val="BodyTextFirstIndent"/>
        <w:keepNext/>
        <w:ind w:firstLine="720"/>
      </w:pPr>
      <w:r>
        <w:t xml:space="preserve">The Committee shall have authority to retain and determine compensation for, at the expense of the Company, special legal, </w:t>
      </w:r>
      <w:r>
        <w:t>accounting or other advisors or consultants as it deems necessary or appropriate in the performance of its duties, including executive search firms to help identify director candidates</w:t>
      </w:r>
      <w:r w:rsidR="002F0B67">
        <w:t xml:space="preserve">.  </w:t>
      </w:r>
      <w:r>
        <w:t>The Committee shall also have authority to pay, at the expense of the</w:t>
      </w:r>
      <w:r>
        <w:t xml:space="preserve"> Company, ordinary administrative expenses that, as determined by the Committee, are necessary or appropriate in carrying out its duties</w:t>
      </w:r>
      <w:r w:rsidR="002F0B67">
        <w:t xml:space="preserve">.  </w:t>
      </w:r>
      <w:r>
        <w:t>Each member of the Committee shall have full access to all books, records, facilities and personnel of the Company as</w:t>
      </w:r>
      <w:r>
        <w:t xml:space="preserve"> deemed necessary or appropriate by any member of the Committee to discharge his or her responsibilities hereunder.  The Committee shall have authority to require that any of the Company’s personnel, counsel, accountants (including the Company’s auditors) </w:t>
      </w:r>
      <w:r>
        <w:t>or investment bankers, or any other consultant or advisor to the Company attend any meeting of the Committee or meet with any member of the Committee or any of its special outside legal, accounting or other advisors or consultants</w:t>
      </w:r>
      <w:r w:rsidR="002F0B67">
        <w:t xml:space="preserve">.  </w:t>
      </w:r>
      <w:r>
        <w:t>The approval of this ch</w:t>
      </w:r>
      <w:r>
        <w:t>arter by the Board shall be construed as a delegation of authority to the Committee with respect to the res</w:t>
      </w:r>
      <w:r w:rsidR="004357AA">
        <w:t>ponsibilities set forth herein.</w:t>
      </w:r>
    </w:p>
    <w:p w14:paraId="1669996F" w14:textId="29A4E28A" w:rsidR="00BC33FC" w:rsidRPr="004357AA" w:rsidRDefault="00685E2E" w:rsidP="004357AA">
      <w:pPr>
        <w:pStyle w:val="LTitle"/>
        <w:rPr>
          <w:smallCaps w:val="0"/>
        </w:rPr>
      </w:pPr>
      <w:r w:rsidRPr="004357AA">
        <w:rPr>
          <w:smallCaps w:val="0"/>
        </w:rPr>
        <w:t xml:space="preserve">Operating Principles </w:t>
      </w:r>
      <w:r w:rsidRPr="004357AA">
        <w:rPr>
          <w:rFonts w:ascii="Times New Roman Bold" w:hAnsi="Times New Roman Bold"/>
          <w:smallCaps w:val="0"/>
        </w:rPr>
        <w:t>and</w:t>
      </w:r>
      <w:r w:rsidRPr="004357AA">
        <w:rPr>
          <w:smallCaps w:val="0"/>
          <w:sz w:val="22"/>
        </w:rPr>
        <w:t xml:space="preserve"> </w:t>
      </w:r>
      <w:r w:rsidRPr="004357AA">
        <w:rPr>
          <w:smallCaps w:val="0"/>
        </w:rPr>
        <w:t>Processes</w:t>
      </w:r>
    </w:p>
    <w:p w14:paraId="6C2FF00B" w14:textId="191469E2" w:rsidR="00BC33FC" w:rsidRDefault="00685E2E" w:rsidP="004357AA">
      <w:pPr>
        <w:pStyle w:val="BodyTextFirstIndent"/>
        <w:ind w:firstLine="720"/>
      </w:pPr>
      <w:r>
        <w:t>In fulfilling its function and responsibilities, the Committee should give due con</w:t>
      </w:r>
      <w:r>
        <w:t>sideration to the following oper</w:t>
      </w:r>
      <w:r w:rsidR="004357AA">
        <w:t>ating principles and processes:</w:t>
      </w:r>
    </w:p>
    <w:p w14:paraId="0618C318" w14:textId="37DD12E7" w:rsidR="00BC33FC" w:rsidRDefault="00685E2E" w:rsidP="00BE21AF">
      <w:pPr>
        <w:pStyle w:val="ListNumber"/>
        <w:tabs>
          <w:tab w:val="clear" w:pos="851"/>
          <w:tab w:val="num" w:pos="1440"/>
        </w:tabs>
        <w:ind w:left="0" w:firstLine="720"/>
      </w:pPr>
      <w:r>
        <w:rPr>
          <w:rFonts w:eastAsia="Times New Roman" w:cs="Times New Roman"/>
          <w:b/>
          <w:i/>
        </w:rPr>
        <w:t>Communication</w:t>
      </w:r>
      <w:r w:rsidR="002F0B67">
        <w:rPr>
          <w:rFonts w:eastAsia="Times New Roman" w:cs="Times New Roman"/>
          <w:b/>
          <w:i/>
        </w:rPr>
        <w:t>.</w:t>
      </w:r>
      <w:r w:rsidR="002F0B67">
        <w:t xml:space="preserve">  </w:t>
      </w:r>
      <w:r>
        <w:t>Regular and meaningful contact throughout the year with the Board, committee chairpersons, members of senior management and independent professional advisors to the Board and i</w:t>
      </w:r>
      <w:r>
        <w:t>ts various committees, as applicable, is viewed as important for strengthening the Committee’s knowledge of relevant current and prospecti</w:t>
      </w:r>
      <w:r w:rsidR="004357AA">
        <w:t>ve corporate governance issues.</w:t>
      </w:r>
    </w:p>
    <w:p w14:paraId="7F01352C" w14:textId="74E8D9DD" w:rsidR="00BC33FC" w:rsidRDefault="00685E2E" w:rsidP="00BE21AF">
      <w:pPr>
        <w:pStyle w:val="ListNumber"/>
        <w:tabs>
          <w:tab w:val="clear" w:pos="851"/>
          <w:tab w:val="num" w:pos="1440"/>
        </w:tabs>
        <w:ind w:left="0" w:firstLine="720"/>
      </w:pPr>
      <w:r>
        <w:rPr>
          <w:rFonts w:eastAsia="Times New Roman" w:cs="Times New Roman"/>
          <w:b/>
          <w:i/>
        </w:rPr>
        <w:t xml:space="preserve">Committee Education/Orientation. </w:t>
      </w:r>
      <w:r>
        <w:t xml:space="preserve"> Developing with management and participating in a pr</w:t>
      </w:r>
      <w:r>
        <w:t xml:space="preserve">ocess for systematic review of important corporate governance issues and trends in corporate governance practices that could potentially impact the Company will enhance the </w:t>
      </w:r>
      <w:r w:rsidR="004357AA">
        <w:t>effectiveness of the Committee.</w:t>
      </w:r>
    </w:p>
    <w:p w14:paraId="6C61E7CC" w14:textId="77777777" w:rsidR="00363421" w:rsidRPr="004357AA" w:rsidRDefault="00685E2E" w:rsidP="004357AA">
      <w:pPr>
        <w:pStyle w:val="LTitle"/>
        <w:rPr>
          <w:rFonts w:ascii="Times New Roman Bold" w:hAnsi="Times New Roman Bold"/>
          <w:smallCaps w:val="0"/>
        </w:rPr>
      </w:pPr>
      <w:r w:rsidRPr="004357AA">
        <w:rPr>
          <w:rFonts w:ascii="Times New Roman Bold" w:hAnsi="Times New Roman Bold"/>
          <w:smallCaps w:val="0"/>
        </w:rPr>
        <w:t>Responsibilities</w:t>
      </w:r>
    </w:p>
    <w:p w14:paraId="03065F0B" w14:textId="77777777" w:rsidR="00BC33FC" w:rsidRDefault="00685E2E" w:rsidP="004357AA">
      <w:pPr>
        <w:pStyle w:val="BodyTextFirstIndent"/>
        <w:ind w:firstLine="720"/>
      </w:pPr>
      <w:r>
        <w:t>The operation of the Committee wil</w:t>
      </w:r>
      <w:r>
        <w:t>l be subject to the provisions of the Bylaws of the</w:t>
      </w:r>
      <w:r w:rsidR="00363421">
        <w:t xml:space="preserve"> </w:t>
      </w:r>
      <w:r>
        <w:t>Company and the Delaware General Corporation Law, each as in effect from time to time</w:t>
      </w:r>
      <w:r w:rsidR="00BF319C">
        <w:t xml:space="preserve">.  </w:t>
      </w:r>
      <w:r>
        <w:t>The Committee will have the full power and authority to carry out the following primary responsibilities or to deleg</w:t>
      </w:r>
      <w:r>
        <w:t xml:space="preserve">ate such power and authority to one or more subcommittees of the Committee: </w:t>
      </w:r>
    </w:p>
    <w:p w14:paraId="2678EC0F" w14:textId="77777777" w:rsidR="00BC33FC" w:rsidRDefault="00685E2E" w:rsidP="00BE21AF">
      <w:pPr>
        <w:pStyle w:val="ListNumber"/>
        <w:numPr>
          <w:ilvl w:val="0"/>
          <w:numId w:val="8"/>
        </w:numPr>
        <w:tabs>
          <w:tab w:val="clear" w:pos="851"/>
          <w:tab w:val="num" w:pos="1440"/>
        </w:tabs>
        <w:ind w:left="0" w:firstLine="720"/>
      </w:pPr>
      <w:r w:rsidRPr="00363421">
        <w:rPr>
          <w:rFonts w:eastAsia="Times New Roman" w:cs="Times New Roman"/>
          <w:b/>
          <w:i/>
        </w:rPr>
        <w:t xml:space="preserve">Director Nominations.  </w:t>
      </w:r>
      <w:r>
        <w:t>The Committee shall have the responsibility of identifying, reviewing and evaluating candidates to serve on the Board, including consideration of any potent</w:t>
      </w:r>
      <w:r>
        <w:t>ial conflicts of interest as well as applicable independence and experience requirements</w:t>
      </w:r>
      <w:r w:rsidR="002F0B67">
        <w:t xml:space="preserve">.  </w:t>
      </w:r>
      <w:r>
        <w:t>The Committee shall have primary responsibility for determining the minimum qualifications for service on the Board and the right to modify the qualifications from t</w:t>
      </w:r>
      <w:r>
        <w:t>ime to time</w:t>
      </w:r>
      <w:r w:rsidR="002F0B67">
        <w:t xml:space="preserve">.  </w:t>
      </w:r>
      <w:r>
        <w:t xml:space="preserve">The Committee shall also have the primary responsibility for reviewing, evaluating and considering the recommendation for nomination of incumbent directors for reelection to the Board, as well as </w:t>
      </w:r>
      <w:r>
        <w:lastRenderedPageBreak/>
        <w:t>monitoring the size of the Board</w:t>
      </w:r>
      <w:r w:rsidR="00BF319C">
        <w:t xml:space="preserve">.  </w:t>
      </w:r>
      <w:r>
        <w:t>The Committ</w:t>
      </w:r>
      <w:r>
        <w:t>ee shall also select or recommend to the Board for selection candidates to the Board to serve as nominees for director for the annual meeting of stockholders</w:t>
      </w:r>
      <w:r w:rsidR="00BF319C">
        <w:t xml:space="preserve">.  </w:t>
      </w:r>
      <w:r>
        <w:t>The Committee shall also have the power and authority to consider recommendations for Board nomi</w:t>
      </w:r>
      <w:r>
        <w:t>nees and proposals submitted by the Company’s stockholders and to establish any policies, requirements, criteria and procedures, including policies and procedures to facilitate stockholder communications with the Board, to recommend to the Board appropriat</w:t>
      </w:r>
      <w:r>
        <w:t>e action on any such proposal or recommendation and to make any disclosures required by applicable law in the course of exercising its authority</w:t>
      </w:r>
      <w:r w:rsidR="00BF319C">
        <w:t xml:space="preserve">.  </w:t>
      </w:r>
      <w:r>
        <w:t>When considering any candidate or nominee to serve on the Board, the Committee shall seek to attain diversity</w:t>
      </w:r>
      <w:r>
        <w:t xml:space="preserve"> and balance among directors of race, gender, geography, thought, viewpoints, backgrounds, skills, experience, and expertise.  In addition, any search firm retained to assist the Committee in seeking candidates for the Board will be instructed to seek to i</w:t>
      </w:r>
      <w:r>
        <w:t xml:space="preserve">nclude diverse candidates in terms of race, gender, geography, thought, viewpoints, backgrounds, skills, experience, and expertise from, among other areas, professional and academic areas relevant to the Company’s area of focus. </w:t>
      </w:r>
    </w:p>
    <w:p w14:paraId="0804C4BC" w14:textId="77777777" w:rsidR="00BC33FC" w:rsidRDefault="00685E2E" w:rsidP="00BE21AF">
      <w:pPr>
        <w:pStyle w:val="ListNumber"/>
        <w:numPr>
          <w:ilvl w:val="0"/>
          <w:numId w:val="8"/>
        </w:numPr>
        <w:tabs>
          <w:tab w:val="clear" w:pos="851"/>
          <w:tab w:val="num" w:pos="1440"/>
        </w:tabs>
        <w:ind w:left="0" w:firstLine="720"/>
      </w:pPr>
      <w:r>
        <w:rPr>
          <w:rFonts w:eastAsia="Times New Roman" w:cs="Times New Roman"/>
          <w:b/>
          <w:i/>
        </w:rPr>
        <w:t>Board and Director Assessm</w:t>
      </w:r>
      <w:r>
        <w:rPr>
          <w:rFonts w:eastAsia="Times New Roman" w:cs="Times New Roman"/>
          <w:b/>
          <w:i/>
        </w:rPr>
        <w:t xml:space="preserve">ent.  </w:t>
      </w:r>
      <w:r>
        <w:t>The Committee shall periodically review, discuss and assess the performance of the Board, including Board committees, seeking input from senior management, the full Board and others</w:t>
      </w:r>
      <w:r w:rsidR="00BF319C">
        <w:t xml:space="preserve">.  </w:t>
      </w:r>
      <w:r>
        <w:t>The assessment shall include evaluation of the Board’s contributio</w:t>
      </w:r>
      <w:r>
        <w:t>n as a whole and effectiveness in serving the best interests of the Company and its stockholders, specific areas in which the Board and/or management believe contributions could be improved, and overall Board composition and makeup, including the reelectio</w:t>
      </w:r>
      <w:r>
        <w:t>n of current Board members</w:t>
      </w:r>
      <w:r w:rsidR="002F0B67">
        <w:t xml:space="preserve">.  </w:t>
      </w:r>
      <w:r>
        <w:t>The factors to be considered shall include whether the directors, both individually and collectively, can and do provide the integrity, experience, judgment, commitment (including having sufficient time to devote to the Company</w:t>
      </w:r>
      <w:r>
        <w:t xml:space="preserve"> and level of participation), skills, diversity (including with respect to race, gender, geography, thought, viewpoints, backgrounds and skills), and expertise appropriate for the Company</w:t>
      </w:r>
      <w:r w:rsidR="002F0B67">
        <w:t xml:space="preserve">.  </w:t>
      </w:r>
      <w:r>
        <w:t>In assessing the directors, both individually and collectively, th</w:t>
      </w:r>
      <w:r>
        <w:t>e Committee may consider the current needs of the Board and the Company to maintain a balance of knowledge, experience and capability in various areas</w:t>
      </w:r>
      <w:r w:rsidR="00BF319C">
        <w:t xml:space="preserve">.  </w:t>
      </w:r>
      <w:r>
        <w:t xml:space="preserve">The Committee shall also consider and assess the independence of directors, including whether a </w:t>
      </w:r>
      <w:r>
        <w:t>majority of the Board continue to be independent from management in both fact and appearance, as well as within the meaning prescribed by Nasdaq</w:t>
      </w:r>
      <w:r w:rsidR="00BF319C">
        <w:t xml:space="preserve">.  </w:t>
      </w:r>
      <w:r>
        <w:t xml:space="preserve">The results of these reviews shall be provided to the Board for further discussion as appropriate. </w:t>
      </w:r>
    </w:p>
    <w:p w14:paraId="39FC1D24" w14:textId="77777777" w:rsidR="00BC33FC" w:rsidRDefault="00685E2E" w:rsidP="00BE21AF">
      <w:pPr>
        <w:pStyle w:val="ListNumber"/>
        <w:numPr>
          <w:ilvl w:val="0"/>
          <w:numId w:val="8"/>
        </w:numPr>
        <w:tabs>
          <w:tab w:val="clear" w:pos="851"/>
          <w:tab w:val="num" w:pos="1440"/>
        </w:tabs>
        <w:ind w:left="0" w:firstLine="720"/>
      </w:pPr>
      <w:r>
        <w:rPr>
          <w:rFonts w:eastAsia="Times New Roman" w:cs="Times New Roman"/>
          <w:b/>
          <w:i/>
        </w:rPr>
        <w:t>Board Com</w:t>
      </w:r>
      <w:r>
        <w:rPr>
          <w:rFonts w:eastAsia="Times New Roman" w:cs="Times New Roman"/>
          <w:b/>
          <w:i/>
        </w:rPr>
        <w:t xml:space="preserve">mittee Nominations.  </w:t>
      </w:r>
      <w:r>
        <w:t>The Committee, after due consideration of the interests, independence and experience of the individual directors and the independence and experience requirements of Nasdaq, the rules and regulations of the Securities and Exchange Commi</w:t>
      </w:r>
      <w:r>
        <w:t xml:space="preserve">ssion and applicable law, shall evaluate the performance of the members of the committees of the Board, review the composition of such committees and recommend to the entire Board annually the chairperson and membership of each such committee. </w:t>
      </w:r>
    </w:p>
    <w:p w14:paraId="17F6B470" w14:textId="77777777" w:rsidR="00BC33FC" w:rsidRDefault="00685E2E" w:rsidP="00BE21AF">
      <w:pPr>
        <w:pStyle w:val="ListNumber"/>
        <w:numPr>
          <w:ilvl w:val="0"/>
          <w:numId w:val="8"/>
        </w:numPr>
        <w:tabs>
          <w:tab w:val="clear" w:pos="851"/>
          <w:tab w:val="num" w:pos="1440"/>
        </w:tabs>
        <w:ind w:left="0" w:firstLine="720"/>
      </w:pPr>
      <w:r>
        <w:rPr>
          <w:rFonts w:eastAsia="Times New Roman" w:cs="Times New Roman"/>
          <w:b/>
          <w:i/>
        </w:rPr>
        <w:t xml:space="preserve">Board Meeting Procedures.  </w:t>
      </w:r>
      <w:r>
        <w:t xml:space="preserve">The Committee shall assist the Board chair or lead director in developing effective Board meeting practices and procedures. </w:t>
      </w:r>
    </w:p>
    <w:p w14:paraId="6E74F5AA" w14:textId="77777777" w:rsidR="00BC33FC" w:rsidRDefault="00685E2E" w:rsidP="00BE21AF">
      <w:pPr>
        <w:pStyle w:val="ListNumber"/>
        <w:numPr>
          <w:ilvl w:val="0"/>
          <w:numId w:val="8"/>
        </w:numPr>
        <w:tabs>
          <w:tab w:val="clear" w:pos="851"/>
          <w:tab w:val="num" w:pos="1440"/>
        </w:tabs>
        <w:ind w:left="0" w:firstLine="720"/>
      </w:pPr>
      <w:r>
        <w:rPr>
          <w:rFonts w:eastAsia="Times New Roman" w:cs="Times New Roman"/>
          <w:b/>
          <w:i/>
        </w:rPr>
        <w:t>Continuing Education</w:t>
      </w:r>
      <w:r w:rsidR="00BF319C">
        <w:t xml:space="preserve">.  </w:t>
      </w:r>
      <w:r>
        <w:t xml:space="preserve">The Committee shall consider the need and, if necessary, develop and institute a </w:t>
      </w:r>
      <w:r>
        <w:t xml:space="preserve">plan or program for the continuing education of directors. </w:t>
      </w:r>
    </w:p>
    <w:p w14:paraId="180177D1" w14:textId="77777777" w:rsidR="00BC33FC" w:rsidRDefault="00685E2E" w:rsidP="00BE21AF">
      <w:pPr>
        <w:pStyle w:val="ListNumber"/>
        <w:numPr>
          <w:ilvl w:val="0"/>
          <w:numId w:val="8"/>
        </w:numPr>
        <w:tabs>
          <w:tab w:val="clear" w:pos="851"/>
          <w:tab w:val="num" w:pos="1440"/>
        </w:tabs>
        <w:ind w:left="0" w:firstLine="720"/>
      </w:pPr>
      <w:r>
        <w:rPr>
          <w:rFonts w:eastAsia="Times New Roman" w:cs="Times New Roman"/>
          <w:b/>
          <w:i/>
        </w:rPr>
        <w:lastRenderedPageBreak/>
        <w:t xml:space="preserve">Corporate Governance Principles.  </w:t>
      </w:r>
      <w:r>
        <w:t>The Committee shall develop, if and when it deems appropriate, a set of corporate governance principles to be applicable to the Company, shall periodically review</w:t>
      </w:r>
      <w:r>
        <w:t xml:space="preserve"> and assess these principles and their application, and shall recommend any changes deemed appropriate to the Board for its consideration. </w:t>
      </w:r>
    </w:p>
    <w:p w14:paraId="0B5E468D" w14:textId="321F21AE" w:rsidR="00BC33FC" w:rsidRDefault="00685E2E" w:rsidP="00BE21AF">
      <w:pPr>
        <w:pStyle w:val="ListNumber"/>
        <w:numPr>
          <w:ilvl w:val="0"/>
          <w:numId w:val="8"/>
        </w:numPr>
        <w:tabs>
          <w:tab w:val="clear" w:pos="851"/>
          <w:tab w:val="num" w:pos="1440"/>
        </w:tabs>
        <w:ind w:left="0" w:firstLine="720"/>
      </w:pPr>
      <w:r>
        <w:rPr>
          <w:rFonts w:eastAsia="Times New Roman" w:cs="Times New Roman"/>
          <w:b/>
          <w:i/>
        </w:rPr>
        <w:t xml:space="preserve">Procedures for Information Dissemination. </w:t>
      </w:r>
      <w:r>
        <w:t xml:space="preserve"> The Committee shall oversee and review the processes and procedures used </w:t>
      </w:r>
      <w:r>
        <w:t>by the Company to provide information to the Board and its committees.  The Committee should consider, among other factors, the reporting channels through which the Board and its committees receive information and the level of access to outside advisors wh</w:t>
      </w:r>
      <w:r>
        <w:t>ere necessary or appropriate, as well as the procedures for providing accurate, relevant and appropriately detailed information to the Board and it</w:t>
      </w:r>
      <w:r w:rsidR="004357AA">
        <w:t>s committees on a timely basis.</w:t>
      </w:r>
    </w:p>
    <w:p w14:paraId="3AC5367C" w14:textId="72C4E69E" w:rsidR="00BC33FC" w:rsidRDefault="00685E2E" w:rsidP="00BE21AF">
      <w:pPr>
        <w:pStyle w:val="ListNumber"/>
        <w:numPr>
          <w:ilvl w:val="0"/>
          <w:numId w:val="8"/>
        </w:numPr>
        <w:tabs>
          <w:tab w:val="clear" w:pos="851"/>
          <w:tab w:val="num" w:pos="1440"/>
        </w:tabs>
        <w:ind w:left="0" w:firstLine="720"/>
      </w:pPr>
      <w:r w:rsidRPr="00E253AF">
        <w:rPr>
          <w:rFonts w:eastAsia="Times New Roman" w:cs="Times New Roman"/>
          <w:b/>
          <w:i/>
        </w:rPr>
        <w:t xml:space="preserve">Management Succession.  </w:t>
      </w:r>
      <w:r>
        <w:t>The Committee shall periodically review with the Chie</w:t>
      </w:r>
      <w:r>
        <w:t>f</w:t>
      </w:r>
      <w:r w:rsidR="00E253AF">
        <w:t xml:space="preserve"> </w:t>
      </w:r>
      <w:r>
        <w:t>Executive Officer of the Company the plans for succession to the offices of the Company’s Chief Executive Officer and other key executive officers and make recommendations to the Board with respect to the selection of appropriate individuals</w:t>
      </w:r>
      <w:r w:rsidR="004357AA">
        <w:t xml:space="preserve"> to succeed to these positions.</w:t>
      </w:r>
    </w:p>
    <w:p w14:paraId="28ABA63E" w14:textId="29F0A459" w:rsidR="005C42DB" w:rsidRPr="00BC33FC" w:rsidRDefault="00685E2E" w:rsidP="00BE21AF">
      <w:pPr>
        <w:pStyle w:val="ListNumber"/>
        <w:numPr>
          <w:ilvl w:val="0"/>
          <w:numId w:val="8"/>
        </w:numPr>
        <w:tabs>
          <w:tab w:val="clear" w:pos="851"/>
          <w:tab w:val="num" w:pos="1440"/>
        </w:tabs>
        <w:ind w:left="0" w:firstLine="720"/>
      </w:pPr>
      <w:r>
        <w:rPr>
          <w:rFonts w:eastAsia="Times New Roman" w:cs="Times New Roman"/>
          <w:b/>
          <w:i/>
        </w:rPr>
        <w:t xml:space="preserve">Annual Evaluation and Charter Review.  </w:t>
      </w:r>
      <w:r>
        <w:t>The Committee shall review, discuss and assess its own performance at least annually</w:t>
      </w:r>
      <w:r w:rsidR="00BF319C">
        <w:t xml:space="preserve">.  </w:t>
      </w:r>
      <w:r>
        <w:t xml:space="preserve">The Committee shall also review and assess the adequacy of this charter at least annually, and shall recommend </w:t>
      </w:r>
      <w:r>
        <w:t xml:space="preserve">any proposed changes to the Board for </w:t>
      </w:r>
      <w:r w:rsidR="004357AA">
        <w:t>its consideration and approval.</w:t>
      </w:r>
    </w:p>
    <w:sectPr w:rsidR="005C42DB" w:rsidRPr="00BC33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BC1F" w14:textId="77777777" w:rsidR="00685E2E" w:rsidRDefault="00685E2E">
      <w:r>
        <w:separator/>
      </w:r>
    </w:p>
  </w:endnote>
  <w:endnote w:type="continuationSeparator" w:id="0">
    <w:p w14:paraId="4270E1D5" w14:textId="77777777" w:rsidR="00685E2E" w:rsidRDefault="0068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925A" w14:textId="13468DCD" w:rsidR="002B6804" w:rsidRDefault="00685E2E">
    <w:pPr>
      <w:pStyle w:val="Footer"/>
    </w:pPr>
    <w:r>
      <w:tab/>
    </w:r>
    <w:r>
      <w:fldChar w:fldCharType="begin"/>
    </w:r>
    <w:r>
      <w:instrText xml:space="preserve"> PAGE   \* MERGEFORMAT </w:instrText>
    </w:r>
    <w:r>
      <w:fldChar w:fldCharType="separate"/>
    </w:r>
    <w:r w:rsidR="00BE21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9FE8" w14:textId="77777777" w:rsidR="00685E2E" w:rsidRDefault="00685E2E">
      <w:r>
        <w:separator/>
      </w:r>
    </w:p>
  </w:footnote>
  <w:footnote w:type="continuationSeparator" w:id="0">
    <w:p w14:paraId="41934942" w14:textId="77777777" w:rsidR="00685E2E" w:rsidRDefault="0068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201CE0"/>
    <w:lvl w:ilvl="0">
      <w:start w:val="1"/>
      <w:numFmt w:val="decimal"/>
      <w:pStyle w:val="ListNumber"/>
      <w:lvlText w:val="%1."/>
      <w:lvlJc w:val="left"/>
      <w:pPr>
        <w:tabs>
          <w:tab w:val="num" w:pos="851"/>
        </w:tabs>
        <w:ind w:left="851" w:hanging="567"/>
      </w:pPr>
      <w:rPr>
        <w:rFonts w:hint="default"/>
        <w:b/>
      </w:rPr>
    </w:lvl>
  </w:abstractNum>
  <w:abstractNum w:abstractNumId="1" w15:restartNumberingAfterBreak="0">
    <w:nsid w:val="FFFFFF89"/>
    <w:multiLevelType w:val="singleLevel"/>
    <w:tmpl w:val="497EC0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0FB1EE8"/>
    <w:multiLevelType w:val="hybridMultilevel"/>
    <w:tmpl w:val="B9581E2E"/>
    <w:lvl w:ilvl="0" w:tplc="5B6CC30A">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A6E62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BCB7A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20B8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8F9F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1AF34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E800C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3AB6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647F5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541B88"/>
    <w:multiLevelType w:val="hybridMultilevel"/>
    <w:tmpl w:val="CB4EFC7C"/>
    <w:lvl w:ilvl="0" w:tplc="8D5C9952">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C8FC00">
      <w:start w:val="1"/>
      <w:numFmt w:val="lowerLetter"/>
      <w:lvlText w:val="%2"/>
      <w:lvlJc w:val="left"/>
      <w:pPr>
        <w:ind w:left="1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189896">
      <w:start w:val="1"/>
      <w:numFmt w:val="lowerRoman"/>
      <w:lvlText w:val="%3"/>
      <w:lvlJc w:val="left"/>
      <w:pPr>
        <w:ind w:left="2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22CC82">
      <w:start w:val="1"/>
      <w:numFmt w:val="decimal"/>
      <w:lvlText w:val="%4"/>
      <w:lvlJc w:val="left"/>
      <w:pPr>
        <w:ind w:left="2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5E1354">
      <w:start w:val="1"/>
      <w:numFmt w:val="lowerLetter"/>
      <w:lvlText w:val="%5"/>
      <w:lvlJc w:val="left"/>
      <w:pPr>
        <w:ind w:left="3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3EA866">
      <w:start w:val="1"/>
      <w:numFmt w:val="lowerRoman"/>
      <w:lvlText w:val="%6"/>
      <w:lvlJc w:val="left"/>
      <w:pPr>
        <w:ind w:left="4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00F1F6">
      <w:start w:val="1"/>
      <w:numFmt w:val="decimal"/>
      <w:lvlText w:val="%7"/>
      <w:lvlJc w:val="left"/>
      <w:pPr>
        <w:ind w:left="4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E46D86">
      <w:start w:val="1"/>
      <w:numFmt w:val="lowerLetter"/>
      <w:lvlText w:val="%8"/>
      <w:lvlJc w:val="left"/>
      <w:pPr>
        <w:ind w:left="5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56300C">
      <w:start w:val="1"/>
      <w:numFmt w:val="lowerRoman"/>
      <w:lvlText w:val="%9"/>
      <w:lvlJc w:val="left"/>
      <w:pPr>
        <w:ind w:left="6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0"/>
  </w:num>
  <w:num w:numId="6">
    <w:abstractNumId w:val="0"/>
  </w:num>
  <w:num w:numId="7">
    <w:abstractNumId w:val="0"/>
    <w:lvlOverride w:ilvl="0">
      <w:startOverride w:val="1"/>
    </w:lvlOverride>
  </w:num>
  <w:num w:numId="8">
    <w:abstractNumId w:val="0"/>
    <w:lvlOverride w:ilvl="0">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62"/>
    <w:rsid w:val="0004143D"/>
    <w:rsid w:val="00043E12"/>
    <w:rsid w:val="0008557D"/>
    <w:rsid w:val="0009166D"/>
    <w:rsid w:val="00094674"/>
    <w:rsid w:val="000B0659"/>
    <w:rsid w:val="000D48C8"/>
    <w:rsid w:val="00124C80"/>
    <w:rsid w:val="00150C5D"/>
    <w:rsid w:val="00190876"/>
    <w:rsid w:val="001A7F33"/>
    <w:rsid w:val="001C2085"/>
    <w:rsid w:val="0022006F"/>
    <w:rsid w:val="0026444F"/>
    <w:rsid w:val="002B6804"/>
    <w:rsid w:val="002F0B67"/>
    <w:rsid w:val="0030222F"/>
    <w:rsid w:val="0033261C"/>
    <w:rsid w:val="00352CCC"/>
    <w:rsid w:val="00363421"/>
    <w:rsid w:val="003B6DE0"/>
    <w:rsid w:val="003D58AA"/>
    <w:rsid w:val="003D68E6"/>
    <w:rsid w:val="003F2DFA"/>
    <w:rsid w:val="004357AA"/>
    <w:rsid w:val="00466A3A"/>
    <w:rsid w:val="00485D65"/>
    <w:rsid w:val="004D2AD8"/>
    <w:rsid w:val="00537881"/>
    <w:rsid w:val="005529CE"/>
    <w:rsid w:val="005860E2"/>
    <w:rsid w:val="005B47D0"/>
    <w:rsid w:val="005C42DB"/>
    <w:rsid w:val="005E0320"/>
    <w:rsid w:val="00636303"/>
    <w:rsid w:val="006720BA"/>
    <w:rsid w:val="00685E2E"/>
    <w:rsid w:val="006A7F72"/>
    <w:rsid w:val="006C56D1"/>
    <w:rsid w:val="006C740F"/>
    <w:rsid w:val="00732E87"/>
    <w:rsid w:val="00744C58"/>
    <w:rsid w:val="007506C4"/>
    <w:rsid w:val="00764CA9"/>
    <w:rsid w:val="00786BB5"/>
    <w:rsid w:val="007D2AD6"/>
    <w:rsid w:val="007E06AD"/>
    <w:rsid w:val="007F5A9E"/>
    <w:rsid w:val="007F69D6"/>
    <w:rsid w:val="008352E8"/>
    <w:rsid w:val="008C65E8"/>
    <w:rsid w:val="008E1C0A"/>
    <w:rsid w:val="008E2875"/>
    <w:rsid w:val="00985F2C"/>
    <w:rsid w:val="00997B14"/>
    <w:rsid w:val="009A6D55"/>
    <w:rsid w:val="009F69E9"/>
    <w:rsid w:val="00A14A6D"/>
    <w:rsid w:val="00A5431E"/>
    <w:rsid w:val="00AA3DFD"/>
    <w:rsid w:val="00B028DB"/>
    <w:rsid w:val="00B17B93"/>
    <w:rsid w:val="00B47A62"/>
    <w:rsid w:val="00B569CA"/>
    <w:rsid w:val="00B66ED5"/>
    <w:rsid w:val="00B84300"/>
    <w:rsid w:val="00B84F5F"/>
    <w:rsid w:val="00BB54C5"/>
    <w:rsid w:val="00BC33FC"/>
    <w:rsid w:val="00BD1AC5"/>
    <w:rsid w:val="00BE21AF"/>
    <w:rsid w:val="00BF319C"/>
    <w:rsid w:val="00C93AA7"/>
    <w:rsid w:val="00CD670A"/>
    <w:rsid w:val="00CE2E53"/>
    <w:rsid w:val="00D106A3"/>
    <w:rsid w:val="00D20E8E"/>
    <w:rsid w:val="00D35AB1"/>
    <w:rsid w:val="00DC4024"/>
    <w:rsid w:val="00DD676E"/>
    <w:rsid w:val="00E253AF"/>
    <w:rsid w:val="00E26381"/>
    <w:rsid w:val="00E90524"/>
    <w:rsid w:val="00E913CB"/>
    <w:rsid w:val="00EA0B15"/>
    <w:rsid w:val="00EB2FBD"/>
    <w:rsid w:val="00EF38F8"/>
    <w:rsid w:val="00F556F1"/>
    <w:rsid w:val="00FA6A9C"/>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46A4"/>
  <w15:chartTrackingRefBased/>
  <w15:docId w15:val="{A636EF23-342F-4469-949B-1A5FE1E7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62"/>
    <w:pPr>
      <w:spacing w:after="0"/>
    </w:pPr>
  </w:style>
  <w:style w:type="paragraph" w:styleId="Heading1">
    <w:name w:val="heading 1"/>
    <w:basedOn w:val="Normal"/>
    <w:next w:val="Normal"/>
    <w:link w:val="Heading1Char"/>
    <w:uiPriority w:val="9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D20E8E"/>
    <w:pPr>
      <w:spacing w:after="240"/>
      <w:ind w:firstLine="851"/>
      <w:jc w:val="both"/>
    </w:pPr>
  </w:style>
  <w:style w:type="character" w:customStyle="1" w:styleId="BodyTextFirstIndentChar">
    <w:name w:val="Body Text First Indent Char"/>
    <w:basedOn w:val="BodyTextChar"/>
    <w:link w:val="BodyTextFirstIndent"/>
    <w:uiPriority w:val="99"/>
    <w:rsid w:val="00D20E8E"/>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D106A3"/>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semiHidden/>
    <w:unhideWhenUsed/>
    <w:rsid w:val="008C65E8"/>
    <w:rPr>
      <w:color w:val="3C18C2"/>
      <w:u w:val="single"/>
    </w:rPr>
  </w:style>
  <w:style w:type="paragraph" w:styleId="Index1">
    <w:name w:val="index 1"/>
    <w:basedOn w:val="Normal"/>
    <w:next w:val="Normal"/>
    <w:autoRedefine/>
    <w:uiPriority w:val="99"/>
    <w:semiHidden/>
    <w:unhideWhenUsed/>
    <w:rsid w:val="005529CE"/>
    <w:pPr>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33261C"/>
    <w:pPr>
      <w:keepNext/>
      <w:spacing w:after="240"/>
      <w:jc w:val="center"/>
    </w:pPr>
    <w:rPr>
      <w:rFonts w:eastAsiaTheme="majorEastAsia" w:cstheme="majorBidi"/>
      <w:b/>
      <w:szCs w:val="52"/>
    </w:rPr>
  </w:style>
  <w:style w:type="character" w:customStyle="1" w:styleId="TitleChar">
    <w:name w:val="Title Char"/>
    <w:basedOn w:val="DefaultParagraphFont"/>
    <w:link w:val="Title"/>
    <w:uiPriority w:val="99"/>
    <w:rsid w:val="0033261C"/>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ind w:left="490" w:hanging="245"/>
    </w:pPr>
  </w:style>
  <w:style w:type="paragraph" w:customStyle="1" w:styleId="LTitle">
    <w:name w:val="LTitle"/>
    <w:basedOn w:val="Normal"/>
    <w:qFormat/>
    <w:rsid w:val="0033261C"/>
    <w:pPr>
      <w:spacing w:after="240"/>
      <w:outlineLvl w:val="0"/>
    </w:pPr>
    <w:rPr>
      <w:b/>
      <w:smallCaps/>
    </w:rPr>
  </w:style>
  <w:style w:type="paragraph" w:styleId="ListBullet">
    <w:name w:val="List Bullet"/>
    <w:basedOn w:val="Normal"/>
    <w:uiPriority w:val="99"/>
    <w:unhideWhenUsed/>
    <w:rsid w:val="0033261C"/>
    <w:pPr>
      <w:numPr>
        <w:numId w:val="1"/>
      </w:numPr>
      <w:spacing w:after="240"/>
      <w:jc w:val="both"/>
    </w:pPr>
  </w:style>
  <w:style w:type="paragraph" w:styleId="ListNumber">
    <w:name w:val="List Number"/>
    <w:basedOn w:val="Normal"/>
    <w:uiPriority w:val="99"/>
    <w:unhideWhenUsed/>
    <w:rsid w:val="00D20E8E"/>
    <w:pPr>
      <w:numPr>
        <w:numId w:val="2"/>
      </w:numPr>
      <w:spacing w:after="240"/>
      <w:jc w:val="both"/>
    </w:pPr>
  </w:style>
  <w:style w:type="paragraph" w:customStyle="1" w:styleId="ListBullet15">
    <w:name w:val="List Bullet 1.5"/>
    <w:basedOn w:val="ListBullet"/>
    <w:qFormat/>
    <w:rsid w:val="00D20E8E"/>
  </w:style>
  <w:style w:type="paragraph" w:styleId="Footer">
    <w:name w:val="footer"/>
    <w:basedOn w:val="Normal"/>
    <w:link w:val="FooterChar"/>
    <w:uiPriority w:val="99"/>
    <w:rsid w:val="002B6804"/>
    <w:pPr>
      <w:tabs>
        <w:tab w:val="center" w:pos="4513"/>
        <w:tab w:val="right" w:pos="9026"/>
      </w:tabs>
    </w:pPr>
  </w:style>
  <w:style w:type="character" w:customStyle="1" w:styleId="FooterChar">
    <w:name w:val="Footer Char"/>
    <w:basedOn w:val="DefaultParagraphFont"/>
    <w:link w:val="Footer"/>
    <w:uiPriority w:val="99"/>
    <w:rsid w:val="002B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9DB8A388D364695A4550ACA72B3E3" ma:contentTypeVersion="13" ma:contentTypeDescription="Create a new document." ma:contentTypeScope="" ma:versionID="bbeeec6926d979a57acf6852f4a01abd">
  <xsd:schema xmlns:xsd="http://www.w3.org/2001/XMLSchema" xmlns:xs="http://www.w3.org/2001/XMLSchema" xmlns:p="http://schemas.microsoft.com/office/2006/metadata/properties" xmlns:ns2="ecba77ad-36b0-4233-89b6-b7ff5d675bc4" xmlns:ns3="dbe09f6d-28aa-4f7a-ba88-6dac9968d5a6" targetNamespace="http://schemas.microsoft.com/office/2006/metadata/properties" ma:root="true" ma:fieldsID="2c013699eb892c44e0b0d7134b4b5875" ns2:_="" ns3:_="">
    <xsd:import namespace="ecba77ad-36b0-4233-89b6-b7ff5d675bc4"/>
    <xsd:import namespace="dbe09f6d-28aa-4f7a-ba88-6dac9968d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a77ad-36b0-4233-89b6-b7ff5d675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09f6d-28aa-4f7a-ba88-6dac9968d5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F80BC-4172-4559-AACC-62F3009ED79D}"/>
</file>

<file path=customXml/itemProps2.xml><?xml version="1.0" encoding="utf-8"?>
<ds:datastoreItem xmlns:ds="http://schemas.openxmlformats.org/officeDocument/2006/customXml" ds:itemID="{1F38812E-470F-4713-AFDB-89360166666B}"/>
</file>

<file path=customXml/itemProps3.xml><?xml version="1.0" encoding="utf-8"?>
<ds:datastoreItem xmlns:ds="http://schemas.openxmlformats.org/officeDocument/2006/customXml" ds:itemID="{EF6DD665-33AA-4DAB-AE08-1BAE6BBAC39A}"/>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9602</Characters>
  <Application>Microsoft Office Word</Application>
  <DocSecurity>0</DocSecurity>
  <Lines>80</Lines>
  <Paragraphs>22</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Elisa-Home</cp:lastModifiedBy>
  <cp:revision>1</cp:revision>
  <dcterms:created xsi:type="dcterms:W3CDTF">2022-03-24T22:07:00Z</dcterms:created>
  <dcterms:modified xsi:type="dcterms:W3CDTF">2022-03-24T22:07:00Z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0x010100AF89DB8A388D364695A4550ACA72B3E3</vt:lpwstr>
  </property>
</Properties>
</file>